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69C5" w:rsidRPr="009C2642" w:rsidRDefault="00BD69C5" w:rsidP="00BD69C5">
      <w:pPr>
        <w:tabs>
          <w:tab w:val="left" w:pos="-720"/>
          <w:tab w:val="left" w:pos="142"/>
          <w:tab w:val="left" w:pos="709"/>
        </w:tabs>
        <w:ind w:right="120"/>
        <w:jc w:val="center"/>
        <w:rPr>
          <w:rFonts w:asciiTheme="majorHAnsi" w:hAnsiTheme="majorHAnsi" w:cstheme="majorHAnsi"/>
          <w:b/>
          <w:bCs/>
          <w:spacing w:val="-3"/>
          <w:sz w:val="22"/>
          <w:szCs w:val="22"/>
          <w:lang w:val="es-EC"/>
        </w:rPr>
      </w:pPr>
      <w:r w:rsidRPr="009C2642">
        <w:rPr>
          <w:rFonts w:asciiTheme="majorHAnsi" w:hAnsiTheme="majorHAnsi" w:cstheme="majorHAnsi"/>
          <w:b/>
          <w:bCs/>
          <w:spacing w:val="-3"/>
          <w:sz w:val="22"/>
          <w:szCs w:val="22"/>
          <w:lang w:val="es-EC"/>
        </w:rPr>
        <w:t xml:space="preserve">ANEXO </w:t>
      </w:r>
      <w:r>
        <w:rPr>
          <w:rFonts w:asciiTheme="majorHAnsi" w:hAnsiTheme="majorHAnsi" w:cstheme="majorHAnsi"/>
          <w:b/>
          <w:bCs/>
          <w:spacing w:val="-3"/>
          <w:sz w:val="22"/>
          <w:szCs w:val="22"/>
          <w:lang w:val="es-EC"/>
        </w:rPr>
        <w:t>1</w:t>
      </w:r>
    </w:p>
    <w:p w:rsidR="00BD69C5" w:rsidRPr="009C2642" w:rsidRDefault="00BD69C5" w:rsidP="00BD69C5">
      <w:pPr>
        <w:tabs>
          <w:tab w:val="left" w:pos="-720"/>
          <w:tab w:val="left" w:pos="142"/>
          <w:tab w:val="left" w:pos="709"/>
        </w:tabs>
        <w:ind w:right="-119"/>
        <w:jc w:val="center"/>
        <w:rPr>
          <w:rFonts w:asciiTheme="majorHAnsi" w:hAnsiTheme="majorHAnsi" w:cstheme="majorHAnsi"/>
          <w:b/>
          <w:bCs/>
          <w:spacing w:val="-3"/>
          <w:sz w:val="22"/>
          <w:szCs w:val="22"/>
          <w:lang w:val="es-EC"/>
        </w:rPr>
      </w:pPr>
    </w:p>
    <w:p w:rsidR="00BD69C5" w:rsidRPr="009C2642" w:rsidRDefault="00BD69C5" w:rsidP="00BD69C5">
      <w:pPr>
        <w:tabs>
          <w:tab w:val="left" w:pos="-720"/>
          <w:tab w:val="left" w:pos="142"/>
          <w:tab w:val="left" w:pos="709"/>
        </w:tabs>
        <w:ind w:right="-119"/>
        <w:jc w:val="center"/>
        <w:rPr>
          <w:rFonts w:asciiTheme="majorHAnsi" w:hAnsiTheme="majorHAnsi" w:cstheme="majorHAnsi"/>
          <w:b/>
          <w:bCs/>
          <w:spacing w:val="-3"/>
          <w:sz w:val="22"/>
          <w:szCs w:val="22"/>
          <w:lang w:val="es-EC"/>
        </w:rPr>
      </w:pPr>
      <w:r w:rsidRPr="009C2642">
        <w:rPr>
          <w:rFonts w:asciiTheme="majorHAnsi" w:hAnsiTheme="majorHAnsi" w:cstheme="majorHAnsi"/>
          <w:b/>
          <w:bCs/>
          <w:spacing w:val="-3"/>
          <w:sz w:val="22"/>
          <w:szCs w:val="22"/>
          <w:lang w:val="es-EC"/>
        </w:rPr>
        <w:t>GARANTIA TÉCNICA</w:t>
      </w:r>
    </w:p>
    <w:p w:rsidR="00BD69C5" w:rsidRPr="009C2642" w:rsidRDefault="00BD69C5" w:rsidP="00BD69C5">
      <w:pPr>
        <w:tabs>
          <w:tab w:val="left" w:pos="-720"/>
          <w:tab w:val="left" w:pos="142"/>
          <w:tab w:val="left" w:pos="709"/>
        </w:tabs>
        <w:ind w:right="-119"/>
        <w:jc w:val="center"/>
        <w:rPr>
          <w:rFonts w:asciiTheme="majorHAnsi" w:hAnsiTheme="majorHAnsi" w:cstheme="majorHAnsi"/>
          <w:b/>
          <w:bCs/>
          <w:spacing w:val="-3"/>
          <w:sz w:val="22"/>
          <w:szCs w:val="22"/>
          <w:lang w:val="es-EC"/>
        </w:rPr>
      </w:pPr>
    </w:p>
    <w:p w:rsidR="00BD69C5" w:rsidRPr="009C2642"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highlight w:val="green"/>
          <w:lang w:val="es-EC"/>
        </w:rPr>
        <w:t>DE ACUERDO A LO QUE NECESITE CADA REQUIRENTE</w:t>
      </w:r>
    </w:p>
    <w:p w:rsidR="00BD69C5" w:rsidRPr="009C2642" w:rsidRDefault="00BD69C5" w:rsidP="00BD69C5">
      <w:pPr>
        <w:tabs>
          <w:tab w:val="left" w:pos="-720"/>
          <w:tab w:val="left" w:pos="142"/>
          <w:tab w:val="left" w:pos="709"/>
        </w:tabs>
        <w:ind w:right="-119"/>
        <w:jc w:val="center"/>
        <w:rPr>
          <w:rFonts w:asciiTheme="majorHAnsi" w:hAnsiTheme="majorHAnsi" w:cstheme="majorHAnsi"/>
          <w:b/>
          <w:bCs/>
          <w:spacing w:val="-3"/>
          <w:sz w:val="22"/>
          <w:szCs w:val="22"/>
          <w:lang w:val="es-EC"/>
        </w:rPr>
      </w:pPr>
    </w:p>
    <w:p w:rsidR="00BD69C5"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 xml:space="preserve">El que suscribe, </w:t>
      </w:r>
      <w:r w:rsidRPr="00C51374">
        <w:rPr>
          <w:rFonts w:asciiTheme="majorHAnsi" w:hAnsiTheme="majorHAnsi" w:cstheme="majorHAnsi"/>
          <w:spacing w:val="-3"/>
          <w:sz w:val="22"/>
          <w:szCs w:val="22"/>
          <w:highlight w:val="green"/>
          <w:lang w:val="es-EC"/>
        </w:rPr>
        <w:t>XXXXXXX</w:t>
      </w:r>
      <w:r w:rsidRPr="009C2642">
        <w:rPr>
          <w:rFonts w:asciiTheme="majorHAnsi" w:hAnsiTheme="majorHAnsi" w:cstheme="majorHAnsi"/>
          <w:spacing w:val="-3"/>
          <w:sz w:val="22"/>
          <w:szCs w:val="22"/>
          <w:lang w:val="es-EC"/>
        </w:rPr>
        <w:t xml:space="preserve">, como contratista de </w:t>
      </w:r>
      <w:bookmarkStart w:id="0" w:name="_Hlk114132980"/>
      <w:r w:rsidRPr="00C51374">
        <w:rPr>
          <w:rFonts w:asciiTheme="majorHAnsi" w:hAnsiTheme="majorHAnsi" w:cstheme="majorHAnsi"/>
          <w:spacing w:val="-3"/>
          <w:sz w:val="22"/>
          <w:szCs w:val="22"/>
          <w:highlight w:val="green"/>
          <w:lang w:val="es-EC"/>
        </w:rPr>
        <w:t>(objeto de contratación)</w:t>
      </w:r>
      <w:r>
        <w:rPr>
          <w:rFonts w:asciiTheme="majorHAnsi" w:hAnsiTheme="majorHAnsi" w:cstheme="majorHAnsi"/>
          <w:spacing w:val="-3"/>
          <w:sz w:val="22"/>
          <w:szCs w:val="22"/>
          <w:lang w:val="es-EC"/>
        </w:rPr>
        <w:t xml:space="preserve"> </w:t>
      </w:r>
      <w:bookmarkEnd w:id="0"/>
      <w:r w:rsidRPr="009C2642">
        <w:rPr>
          <w:rFonts w:asciiTheme="majorHAnsi" w:hAnsiTheme="majorHAnsi" w:cstheme="majorHAnsi"/>
          <w:spacing w:val="-3"/>
          <w:sz w:val="22"/>
          <w:szCs w:val="22"/>
          <w:lang w:val="es-EC"/>
        </w:rPr>
        <w:t xml:space="preserve">requerido por la </w:t>
      </w:r>
      <w:r>
        <w:rPr>
          <w:rFonts w:asciiTheme="majorHAnsi" w:hAnsiTheme="majorHAnsi" w:cstheme="majorHAnsi"/>
          <w:spacing w:val="-3"/>
          <w:sz w:val="22"/>
          <w:szCs w:val="22"/>
          <w:lang w:val="es-EC"/>
        </w:rPr>
        <w:t xml:space="preserve">Empresa Pública de Servicios ESPOL-TECH E.P. </w:t>
      </w:r>
      <w:r w:rsidRPr="009C2642">
        <w:rPr>
          <w:rFonts w:asciiTheme="majorHAnsi" w:hAnsiTheme="majorHAnsi" w:cstheme="majorHAnsi"/>
          <w:spacing w:val="-3"/>
          <w:sz w:val="22"/>
          <w:szCs w:val="22"/>
          <w:lang w:val="es-EC"/>
        </w:rPr>
        <w:t>declaro bajo juramento y en pleno conocimiento de las consecuencias legales que conllevan faltar a la verdad, que:</w:t>
      </w:r>
    </w:p>
    <w:p w:rsidR="00BD69C5" w:rsidRPr="009C2642"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p>
    <w:p w:rsidR="00BD69C5" w:rsidRPr="009C2642" w:rsidRDefault="00BD69C5" w:rsidP="00BD69C5">
      <w:pPr>
        <w:tabs>
          <w:tab w:val="left" w:pos="142"/>
          <w:tab w:val="left" w:pos="709"/>
        </w:tabs>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 xml:space="preserve">En mi calidad de Contratista certifico que los bienes/servicios, correspondientes </w:t>
      </w:r>
      <w:r w:rsidRPr="00C51374">
        <w:rPr>
          <w:rFonts w:asciiTheme="majorHAnsi" w:hAnsiTheme="majorHAnsi" w:cstheme="majorHAnsi"/>
          <w:spacing w:val="-3"/>
          <w:sz w:val="22"/>
          <w:szCs w:val="22"/>
          <w:highlight w:val="green"/>
          <w:lang w:val="es-EC"/>
        </w:rPr>
        <w:t>(objeto de contratación)</w:t>
      </w:r>
      <w:r>
        <w:rPr>
          <w:rFonts w:asciiTheme="majorHAnsi" w:hAnsiTheme="majorHAnsi" w:cstheme="majorHAnsi"/>
          <w:spacing w:val="-3"/>
          <w:sz w:val="22"/>
          <w:szCs w:val="22"/>
          <w:lang w:val="es-EC"/>
        </w:rPr>
        <w:t>,</w:t>
      </w:r>
      <w:r w:rsidRPr="009C2642">
        <w:rPr>
          <w:rFonts w:asciiTheme="majorHAnsi" w:hAnsiTheme="majorHAnsi" w:cstheme="majorHAnsi"/>
          <w:spacing w:val="-3"/>
          <w:sz w:val="22"/>
          <w:szCs w:val="22"/>
          <w:lang w:val="es-EC"/>
        </w:rPr>
        <w:t xml:space="preserve"> cumplen con los requisitos exigidos por ESPOL</w:t>
      </w:r>
      <w:r>
        <w:rPr>
          <w:rFonts w:asciiTheme="majorHAnsi" w:hAnsiTheme="majorHAnsi" w:cstheme="majorHAnsi"/>
          <w:spacing w:val="-3"/>
          <w:sz w:val="22"/>
          <w:szCs w:val="22"/>
          <w:lang w:val="es-EC"/>
        </w:rPr>
        <w:t>-TECH E.P.</w:t>
      </w:r>
      <w:r w:rsidRPr="009C2642">
        <w:rPr>
          <w:rFonts w:asciiTheme="majorHAnsi" w:hAnsiTheme="majorHAnsi" w:cstheme="majorHAnsi"/>
          <w:spacing w:val="-3"/>
          <w:sz w:val="22"/>
          <w:szCs w:val="22"/>
          <w:lang w:val="es-EC"/>
        </w:rPr>
        <w:t>, en su calidad de Contratante.</w:t>
      </w:r>
    </w:p>
    <w:p w:rsidR="00BD69C5" w:rsidRPr="009C2642" w:rsidRDefault="00BD69C5" w:rsidP="00BD69C5">
      <w:pPr>
        <w:tabs>
          <w:tab w:val="left" w:pos="-720"/>
          <w:tab w:val="left" w:pos="142"/>
          <w:tab w:val="left" w:pos="709"/>
        </w:tabs>
        <w:ind w:right="-119"/>
        <w:jc w:val="both"/>
        <w:rPr>
          <w:rFonts w:asciiTheme="majorHAnsi" w:hAnsiTheme="majorHAnsi" w:cstheme="majorHAnsi"/>
          <w:b/>
          <w:spacing w:val="-3"/>
          <w:sz w:val="22"/>
          <w:szCs w:val="22"/>
          <w:lang w:val="es-EC"/>
        </w:rPr>
      </w:pPr>
    </w:p>
    <w:p w:rsidR="00BD69C5" w:rsidRDefault="00BD69C5" w:rsidP="00BD69C5">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GARANTÍA</w:t>
      </w:r>
    </w:p>
    <w:p w:rsidR="00BD69C5" w:rsidRPr="009C2642" w:rsidRDefault="00BD69C5" w:rsidP="00BD69C5">
      <w:pPr>
        <w:tabs>
          <w:tab w:val="left" w:pos="-720"/>
          <w:tab w:val="left" w:pos="142"/>
          <w:tab w:val="left" w:pos="709"/>
        </w:tabs>
        <w:ind w:right="-119"/>
        <w:jc w:val="both"/>
        <w:rPr>
          <w:rFonts w:asciiTheme="majorHAnsi" w:hAnsiTheme="majorHAnsi" w:cstheme="majorHAnsi"/>
          <w:b/>
          <w:spacing w:val="-3"/>
          <w:sz w:val="22"/>
          <w:szCs w:val="22"/>
          <w:lang w:val="es-EC"/>
        </w:rPr>
      </w:pPr>
    </w:p>
    <w:p w:rsidR="00BD69C5" w:rsidRPr="009C2642" w:rsidRDefault="00BD69C5" w:rsidP="00BD69C5">
      <w:pPr>
        <w:tabs>
          <w:tab w:val="left" w:pos="-720"/>
          <w:tab w:val="left" w:pos="142"/>
          <w:tab w:val="left" w:pos="709"/>
        </w:tabs>
        <w:ind w:left="142"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La Garantía ofrecida como Contratista incluye:</w:t>
      </w:r>
    </w:p>
    <w:p w:rsidR="00BD69C5" w:rsidRPr="00FE2DF7" w:rsidRDefault="00BD69C5" w:rsidP="00BD69C5">
      <w:pPr>
        <w:pStyle w:val="Prrafodelista"/>
        <w:numPr>
          <w:ilvl w:val="0"/>
          <w:numId w:val="1"/>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Reposición inmediata ante defectos de fabricación,</w:t>
      </w:r>
    </w:p>
    <w:p w:rsidR="00BD69C5" w:rsidRPr="00FA4992" w:rsidRDefault="00BD69C5" w:rsidP="00BD69C5">
      <w:pPr>
        <w:pStyle w:val="Prrafodelista"/>
        <w:numPr>
          <w:ilvl w:val="0"/>
          <w:numId w:val="1"/>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Procedimientos claros, precisos y efectivos para la ejecución de la garantía técnica y casos específicos</w:t>
      </w:r>
      <w:r>
        <w:rPr>
          <w:rFonts w:asciiTheme="majorHAnsi" w:hAnsiTheme="majorHAnsi" w:cstheme="majorHAnsi"/>
          <w:spacing w:val="-3"/>
        </w:rPr>
        <w:t xml:space="preserve"> </w:t>
      </w:r>
      <w:r w:rsidRPr="00FA4992">
        <w:rPr>
          <w:rFonts w:asciiTheme="majorHAnsi" w:hAnsiTheme="majorHAnsi" w:cstheme="majorHAnsi"/>
          <w:spacing w:val="-3"/>
        </w:rPr>
        <w:t>en los cuales se garantice la reposición temporal y definitiva de los bienes, así como identificación clara de las exclusiones de cobertura de la garantía técnica;</w:t>
      </w:r>
    </w:p>
    <w:p w:rsidR="00BD69C5" w:rsidRPr="009C2642"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9C2642">
        <w:rPr>
          <w:rFonts w:asciiTheme="majorHAnsi" w:hAnsiTheme="majorHAnsi" w:cstheme="majorHAnsi"/>
          <w:spacing w:val="-3"/>
        </w:rPr>
        <w:t>Corrección de instalación o configuraciones.</w:t>
      </w:r>
    </w:p>
    <w:p w:rsidR="00BD69C5" w:rsidRPr="009C2642"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9C2642">
        <w:rPr>
          <w:rFonts w:asciiTheme="majorHAnsi" w:hAnsiTheme="majorHAnsi" w:cstheme="majorHAnsi"/>
          <w:spacing w:val="-3"/>
        </w:rPr>
        <w:t>Los gastos de transportación derivados del cumplimiento de la presente garantía; y,</w:t>
      </w:r>
    </w:p>
    <w:p w:rsidR="00BD69C5"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9C2642">
        <w:rPr>
          <w:rFonts w:asciiTheme="majorHAnsi" w:hAnsiTheme="majorHAnsi" w:cstheme="majorHAnsi"/>
          <w:spacing w:val="-3"/>
        </w:rPr>
        <w:t>La mano de obra que se requiera para cualquier de los trabajos y/o servicios enumerados previamente.</w:t>
      </w:r>
    </w:p>
    <w:p w:rsidR="00BD69C5" w:rsidRDefault="00BD69C5" w:rsidP="00BD69C5">
      <w:pPr>
        <w:pStyle w:val="Prrafodelista"/>
        <w:tabs>
          <w:tab w:val="left" w:pos="-720"/>
          <w:tab w:val="left" w:pos="142"/>
          <w:tab w:val="left" w:pos="709"/>
        </w:tabs>
        <w:suppressAutoHyphens/>
        <w:spacing w:after="0" w:line="240" w:lineRule="auto"/>
        <w:ind w:left="709" w:right="-119" w:hanging="360"/>
        <w:jc w:val="both"/>
        <w:rPr>
          <w:rFonts w:asciiTheme="majorHAnsi" w:hAnsiTheme="majorHAnsi" w:cstheme="majorHAnsi"/>
          <w:spacing w:val="-3"/>
        </w:rPr>
      </w:pPr>
    </w:p>
    <w:p w:rsidR="00BD69C5" w:rsidRPr="009C2642" w:rsidRDefault="00BD69C5" w:rsidP="00BD69C5">
      <w:pPr>
        <w:pStyle w:val="Prrafodelista"/>
        <w:tabs>
          <w:tab w:val="left" w:pos="-720"/>
          <w:tab w:val="left" w:pos="142"/>
          <w:tab w:val="left" w:pos="709"/>
        </w:tabs>
        <w:suppressAutoHyphens/>
        <w:spacing w:after="0" w:line="240" w:lineRule="auto"/>
        <w:ind w:left="709" w:right="-119" w:hanging="360"/>
        <w:jc w:val="both"/>
        <w:rPr>
          <w:rFonts w:asciiTheme="majorHAnsi" w:hAnsiTheme="majorHAnsi" w:cstheme="majorHAnsi"/>
          <w:spacing w:val="-3"/>
        </w:rPr>
      </w:pPr>
      <w:r w:rsidRPr="001B671B">
        <w:rPr>
          <w:rFonts w:asciiTheme="majorHAnsi" w:hAnsiTheme="majorHAnsi" w:cstheme="majorHAnsi"/>
          <w:spacing w:val="-3"/>
          <w:highlight w:val="yellow"/>
        </w:rPr>
        <w:t>(en caso de contar con vigencia tecnológica agregar:)</w:t>
      </w:r>
    </w:p>
    <w:p w:rsidR="00BD69C5" w:rsidRPr="00FE2DF7" w:rsidRDefault="00BD69C5" w:rsidP="00BD69C5">
      <w:pPr>
        <w:pStyle w:val="Prrafodelista"/>
        <w:numPr>
          <w:ilvl w:val="0"/>
          <w:numId w:val="1"/>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Reposición inmediata ante defectos de fabricación, deficiencias en los trabajos de mantenimiento, ausencia de repuestos, accesorios, piezas y partes del bien, entre otros, que obstaculicen su normal</w:t>
      </w:r>
    </w:p>
    <w:p w:rsidR="00BD69C5" w:rsidRPr="00FE2DF7" w:rsidRDefault="00BD69C5" w:rsidP="00BD69C5">
      <w:pPr>
        <w:pStyle w:val="Prrafodelista"/>
        <w:tabs>
          <w:tab w:val="left" w:pos="-720"/>
          <w:tab w:val="left" w:pos="142"/>
          <w:tab w:val="left" w:pos="709"/>
        </w:tabs>
        <w:suppressAutoHyphens/>
        <w:ind w:left="709" w:right="-119" w:hanging="360"/>
        <w:jc w:val="both"/>
        <w:rPr>
          <w:rFonts w:asciiTheme="majorHAnsi" w:hAnsiTheme="majorHAnsi" w:cstheme="majorHAnsi"/>
          <w:spacing w:val="-3"/>
        </w:rPr>
      </w:pPr>
      <w:r w:rsidRPr="00FE2DF7">
        <w:rPr>
          <w:rFonts w:asciiTheme="majorHAnsi" w:hAnsiTheme="majorHAnsi" w:cstheme="majorHAnsi"/>
          <w:spacing w:val="-3"/>
        </w:rPr>
        <w:t>funcionamiento y la continuidad en la prestación de los servicios a los ciudadanos</w:t>
      </w:r>
      <w:r>
        <w:rPr>
          <w:rFonts w:asciiTheme="majorHAnsi" w:hAnsiTheme="majorHAnsi" w:cstheme="majorHAnsi"/>
          <w:spacing w:val="-3"/>
        </w:rPr>
        <w:t xml:space="preserve"> (indicar el tiempo y condiciones de la reposición)</w:t>
      </w:r>
      <w:r w:rsidRPr="00FE2DF7">
        <w:rPr>
          <w:rFonts w:asciiTheme="majorHAnsi" w:hAnsiTheme="majorHAnsi" w:cstheme="majorHAnsi"/>
          <w:spacing w:val="-3"/>
        </w:rPr>
        <w:t>;</w:t>
      </w:r>
    </w:p>
    <w:p w:rsidR="00BD69C5"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proofErr w:type="gramStart"/>
      <w:r w:rsidRPr="009C2642">
        <w:rPr>
          <w:rFonts w:asciiTheme="majorHAnsi" w:hAnsiTheme="majorHAnsi" w:cstheme="majorHAnsi"/>
          <w:spacing w:val="-3"/>
        </w:rPr>
        <w:t xml:space="preserve">Mantenimientos </w:t>
      </w:r>
      <w:r>
        <w:rPr>
          <w:rFonts w:asciiTheme="majorHAnsi" w:hAnsiTheme="majorHAnsi" w:cstheme="majorHAnsi"/>
          <w:spacing w:val="-3"/>
        </w:rPr>
        <w:t>preventivo</w:t>
      </w:r>
      <w:proofErr w:type="gramEnd"/>
      <w:r>
        <w:rPr>
          <w:rFonts w:asciiTheme="majorHAnsi" w:hAnsiTheme="majorHAnsi" w:cstheme="majorHAnsi"/>
          <w:spacing w:val="-3"/>
        </w:rPr>
        <w:t xml:space="preserve"> y/o periódicos </w:t>
      </w:r>
    </w:p>
    <w:p w:rsidR="00BD69C5"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Pr>
          <w:rFonts w:asciiTheme="majorHAnsi" w:hAnsiTheme="majorHAnsi" w:cstheme="majorHAnsi"/>
          <w:spacing w:val="-3"/>
        </w:rPr>
        <w:t>Mantenimiento correctivo</w:t>
      </w:r>
    </w:p>
    <w:p w:rsidR="00BD69C5"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Pr>
          <w:rFonts w:asciiTheme="majorHAnsi" w:hAnsiTheme="majorHAnsi" w:cstheme="majorHAnsi"/>
          <w:spacing w:val="-3"/>
        </w:rPr>
        <w:t>Extensiones del mantenimiento</w:t>
      </w:r>
    </w:p>
    <w:p w:rsidR="00BD69C5" w:rsidRPr="00FE2DF7" w:rsidRDefault="00BD69C5" w:rsidP="00BD69C5">
      <w:pPr>
        <w:pStyle w:val="Prrafodelista"/>
        <w:numPr>
          <w:ilvl w:val="0"/>
          <w:numId w:val="1"/>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Tiempos de respuesta óptimos y plazos máximos para el mantenimiento preventivo periódico,</w:t>
      </w:r>
      <w:r>
        <w:rPr>
          <w:rFonts w:asciiTheme="majorHAnsi" w:hAnsiTheme="majorHAnsi" w:cstheme="majorHAnsi"/>
          <w:spacing w:val="-3"/>
        </w:rPr>
        <w:t xml:space="preserve"> </w:t>
      </w:r>
      <w:r w:rsidRPr="00FE2DF7">
        <w:rPr>
          <w:rFonts w:asciiTheme="majorHAnsi" w:hAnsiTheme="majorHAnsi" w:cstheme="majorHAnsi"/>
          <w:spacing w:val="-3"/>
        </w:rPr>
        <w:t>correctivo y reposición temporal o definitiva de los bienes;</w:t>
      </w:r>
    </w:p>
    <w:p w:rsidR="00BD69C5" w:rsidRPr="00FE2DF7" w:rsidRDefault="00BD69C5" w:rsidP="00BD69C5">
      <w:pPr>
        <w:pStyle w:val="Prrafodelista"/>
        <w:numPr>
          <w:ilvl w:val="0"/>
          <w:numId w:val="1"/>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Disposición de talleres de servicio autorizados para el mantenimiento preventivo periódico o correctivo</w:t>
      </w:r>
    </w:p>
    <w:p w:rsidR="00BD69C5"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FE2DF7">
        <w:rPr>
          <w:rFonts w:asciiTheme="majorHAnsi" w:hAnsiTheme="majorHAnsi" w:cstheme="majorHAnsi"/>
          <w:spacing w:val="-3"/>
        </w:rPr>
        <w:t>del bien</w:t>
      </w:r>
    </w:p>
    <w:p w:rsidR="00BD69C5"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FE2DF7">
        <w:rPr>
          <w:rFonts w:asciiTheme="majorHAnsi" w:hAnsiTheme="majorHAnsi" w:cstheme="majorHAnsi"/>
          <w:spacing w:val="-3"/>
        </w:rPr>
        <w:t>Reposición temporal de los bienes durante los trabajos de mantenimiento que impidan su utilización</w:t>
      </w:r>
    </w:p>
    <w:p w:rsidR="00BD69C5" w:rsidRDefault="00BD69C5" w:rsidP="00BD69C5">
      <w:pPr>
        <w:pStyle w:val="Prrafodelista"/>
        <w:numPr>
          <w:ilvl w:val="0"/>
          <w:numId w:val="1"/>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Cobertura de repuestos, accesorios, partes y piezas de los bienes, para lo cual el proveedor deberá garantizar su disponibilidad durante el tiempo de vigencia de la garantía técnica;</w:t>
      </w:r>
    </w:p>
    <w:p w:rsidR="00BD69C5" w:rsidRPr="00FA4992" w:rsidRDefault="00BD69C5" w:rsidP="00BD69C5">
      <w:pPr>
        <w:pStyle w:val="Prrafodelista"/>
        <w:numPr>
          <w:ilvl w:val="0"/>
          <w:numId w:val="1"/>
        </w:numPr>
        <w:tabs>
          <w:tab w:val="left" w:pos="-720"/>
          <w:tab w:val="left" w:pos="142"/>
          <w:tab w:val="left" w:pos="709"/>
        </w:tabs>
        <w:suppressAutoHyphens/>
        <w:ind w:left="709" w:right="-119"/>
        <w:jc w:val="both"/>
        <w:rPr>
          <w:rFonts w:asciiTheme="majorHAnsi" w:hAnsiTheme="majorHAnsi" w:cstheme="majorHAnsi"/>
          <w:spacing w:val="-3"/>
        </w:rPr>
      </w:pPr>
      <w:r w:rsidRPr="00FE2DF7">
        <w:rPr>
          <w:rFonts w:asciiTheme="majorHAnsi" w:hAnsiTheme="majorHAnsi" w:cstheme="majorHAnsi"/>
          <w:spacing w:val="-3"/>
        </w:rPr>
        <w:t>Provisión de los repuestos, accesorios, partes y piezas necesarios para el mantenimiento preventiv</w:t>
      </w:r>
      <w:r>
        <w:rPr>
          <w:rFonts w:asciiTheme="majorHAnsi" w:hAnsiTheme="majorHAnsi" w:cstheme="majorHAnsi"/>
          <w:spacing w:val="-3"/>
        </w:rPr>
        <w:t xml:space="preserve">o </w:t>
      </w:r>
      <w:r w:rsidRPr="00FA4992">
        <w:rPr>
          <w:rFonts w:asciiTheme="majorHAnsi" w:hAnsiTheme="majorHAnsi" w:cstheme="majorHAnsi"/>
          <w:spacing w:val="-3"/>
        </w:rPr>
        <w:t>periódico y correctivo;</w:t>
      </w:r>
    </w:p>
    <w:p w:rsidR="00BD69C5" w:rsidRPr="009C2642" w:rsidRDefault="00BD69C5" w:rsidP="00BD69C5">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COBERTURA</w:t>
      </w:r>
    </w:p>
    <w:p w:rsidR="00BD69C5" w:rsidRPr="009C2642" w:rsidRDefault="00BD69C5" w:rsidP="00BD69C5">
      <w:pPr>
        <w:tabs>
          <w:tab w:val="left" w:pos="-720"/>
          <w:tab w:val="left" w:pos="142"/>
          <w:tab w:val="left" w:pos="709"/>
        </w:tabs>
        <w:ind w:left="709"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La presente garantía cubre los daños, desperfectos, o mal funcionamiento, ocasionados por:</w:t>
      </w:r>
    </w:p>
    <w:p w:rsidR="00BD69C5" w:rsidRPr="009C2642"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9C2642">
        <w:rPr>
          <w:rFonts w:asciiTheme="majorHAnsi" w:hAnsiTheme="majorHAnsi" w:cstheme="majorHAnsi"/>
          <w:spacing w:val="-3"/>
        </w:rPr>
        <w:t>Incorrecta manipulación, instalación o configuración de los equipos, sus repuestos o su software durante un mantenimiento o soporte correctivo.</w:t>
      </w:r>
    </w:p>
    <w:p w:rsidR="00BD69C5" w:rsidRPr="009C2642" w:rsidRDefault="00BD69C5" w:rsidP="00BD69C5">
      <w:pPr>
        <w:tabs>
          <w:tab w:val="left" w:pos="-720"/>
          <w:tab w:val="left" w:pos="142"/>
          <w:tab w:val="left" w:pos="709"/>
        </w:tabs>
        <w:ind w:left="709" w:right="-119"/>
        <w:jc w:val="both"/>
        <w:rPr>
          <w:rFonts w:asciiTheme="majorHAnsi" w:hAnsiTheme="majorHAnsi" w:cstheme="majorHAnsi"/>
          <w:spacing w:val="-3"/>
          <w:sz w:val="22"/>
          <w:szCs w:val="22"/>
          <w:lang w:val="es-EC"/>
        </w:rPr>
      </w:pPr>
    </w:p>
    <w:p w:rsidR="00BD69C5" w:rsidRPr="009C2642" w:rsidRDefault="00BD69C5" w:rsidP="00BD69C5">
      <w:pPr>
        <w:tabs>
          <w:tab w:val="left" w:pos="-720"/>
          <w:tab w:val="left" w:pos="142"/>
          <w:tab w:val="left" w:pos="709"/>
        </w:tabs>
        <w:ind w:left="709"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Esta garantía tendrá una cobertura de:</w:t>
      </w:r>
    </w:p>
    <w:p w:rsidR="00BD69C5" w:rsidRPr="009C2642" w:rsidRDefault="00BD69C5" w:rsidP="00BD69C5">
      <w:pPr>
        <w:pStyle w:val="Prrafodelista"/>
        <w:numPr>
          <w:ilvl w:val="0"/>
          <w:numId w:val="1"/>
        </w:numPr>
        <w:tabs>
          <w:tab w:val="left" w:pos="-720"/>
          <w:tab w:val="left" w:pos="142"/>
          <w:tab w:val="left" w:pos="709"/>
        </w:tabs>
        <w:suppressAutoHyphens/>
        <w:spacing w:after="0" w:line="240" w:lineRule="auto"/>
        <w:ind w:left="709" w:right="-119"/>
        <w:jc w:val="both"/>
        <w:rPr>
          <w:rFonts w:asciiTheme="majorHAnsi" w:hAnsiTheme="majorHAnsi" w:cstheme="majorHAnsi"/>
          <w:spacing w:val="-3"/>
        </w:rPr>
      </w:pPr>
      <w:r w:rsidRPr="00716461">
        <w:rPr>
          <w:rFonts w:asciiTheme="majorHAnsi" w:hAnsiTheme="majorHAnsi" w:cstheme="majorHAnsi"/>
          <w:noProof/>
          <w:spacing w:val="-3"/>
          <w:highlight w:val="green"/>
        </w:rPr>
        <w:t>“xxxxx”</w:t>
      </w:r>
      <w:r w:rsidRPr="009C2642">
        <w:rPr>
          <w:rFonts w:asciiTheme="majorHAnsi" w:hAnsiTheme="majorHAnsi" w:cstheme="majorHAnsi"/>
          <w:noProof/>
          <w:spacing w:val="-3"/>
        </w:rPr>
        <w:t xml:space="preserve"> días, meses o años.</w:t>
      </w:r>
    </w:p>
    <w:p w:rsidR="00BD69C5" w:rsidRPr="009C2642" w:rsidRDefault="00BD69C5" w:rsidP="00BD69C5">
      <w:pPr>
        <w:pStyle w:val="Prrafodelista"/>
        <w:tabs>
          <w:tab w:val="left" w:pos="-720"/>
          <w:tab w:val="left" w:pos="142"/>
          <w:tab w:val="left" w:pos="709"/>
        </w:tabs>
        <w:suppressAutoHyphens/>
        <w:ind w:left="709" w:right="-119"/>
        <w:jc w:val="both"/>
        <w:rPr>
          <w:rFonts w:asciiTheme="majorHAnsi" w:hAnsiTheme="majorHAnsi" w:cstheme="majorHAnsi"/>
          <w:spacing w:val="-3"/>
        </w:rPr>
      </w:pPr>
    </w:p>
    <w:p w:rsidR="00BD69C5" w:rsidRPr="009C2642" w:rsidRDefault="00BD69C5" w:rsidP="00BD69C5">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VIGENCIA DE LA GARANTÍA</w:t>
      </w:r>
    </w:p>
    <w:p w:rsidR="00BD69C5" w:rsidRPr="009C2642" w:rsidRDefault="00BD69C5" w:rsidP="00BD69C5">
      <w:pPr>
        <w:tabs>
          <w:tab w:val="left" w:pos="142"/>
          <w:tab w:val="left" w:pos="709"/>
        </w:tabs>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lastRenderedPageBreak/>
        <w:t xml:space="preserve">La garantía técnica de </w:t>
      </w:r>
      <w:r w:rsidRPr="00C51374">
        <w:rPr>
          <w:rFonts w:asciiTheme="majorHAnsi" w:hAnsiTheme="majorHAnsi" w:cstheme="majorHAnsi"/>
          <w:spacing w:val="-3"/>
          <w:sz w:val="22"/>
          <w:szCs w:val="22"/>
          <w:highlight w:val="green"/>
          <w:lang w:val="es-EC"/>
        </w:rPr>
        <w:t>(objeto de contratación)</w:t>
      </w:r>
      <w:r w:rsidRPr="009C2642">
        <w:rPr>
          <w:rFonts w:asciiTheme="majorHAnsi" w:hAnsiTheme="majorHAnsi" w:cstheme="majorHAnsi"/>
          <w:spacing w:val="-3"/>
          <w:sz w:val="22"/>
          <w:szCs w:val="22"/>
          <w:lang w:val="es-EC"/>
        </w:rPr>
        <w:t>, entrará en vigencia a partir de la firma del acta de entrega recepción definitiva.</w:t>
      </w:r>
    </w:p>
    <w:p w:rsidR="00BD69C5" w:rsidRPr="009C2642" w:rsidRDefault="00BD69C5" w:rsidP="00BD69C5">
      <w:pPr>
        <w:tabs>
          <w:tab w:val="left" w:pos="142"/>
          <w:tab w:val="left" w:pos="709"/>
        </w:tabs>
        <w:jc w:val="both"/>
        <w:rPr>
          <w:rFonts w:asciiTheme="majorHAnsi" w:hAnsiTheme="majorHAnsi" w:cstheme="majorHAnsi"/>
          <w:spacing w:val="-3"/>
          <w:sz w:val="22"/>
          <w:szCs w:val="22"/>
          <w:lang w:val="es-EC"/>
        </w:rPr>
      </w:pPr>
    </w:p>
    <w:p w:rsidR="00BD69C5" w:rsidRPr="009C2642" w:rsidRDefault="00BD69C5" w:rsidP="00BD69C5">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SOPORTE POST VENTA</w:t>
      </w:r>
    </w:p>
    <w:p w:rsidR="00BD69C5" w:rsidRPr="009C2642"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En caso de existir la necesidad de modificaciones, arreglos o reemplazos, ESPOL</w:t>
      </w:r>
      <w:r>
        <w:rPr>
          <w:rFonts w:asciiTheme="majorHAnsi" w:hAnsiTheme="majorHAnsi" w:cstheme="majorHAnsi"/>
          <w:spacing w:val="-3"/>
          <w:sz w:val="22"/>
          <w:szCs w:val="22"/>
          <w:lang w:val="es-EC"/>
        </w:rPr>
        <w:t>-TECH E.P.,</w:t>
      </w:r>
      <w:r w:rsidRPr="009C2642">
        <w:rPr>
          <w:rFonts w:asciiTheme="majorHAnsi" w:hAnsiTheme="majorHAnsi" w:cstheme="majorHAnsi"/>
          <w:spacing w:val="-3"/>
          <w:sz w:val="22"/>
          <w:szCs w:val="22"/>
          <w:lang w:val="es-EC"/>
        </w:rPr>
        <w:t xml:space="preserve"> notificará al Contratista vía correo electrónico a la cuenta </w:t>
      </w:r>
      <w:r w:rsidRPr="00716461">
        <w:rPr>
          <w:rFonts w:asciiTheme="majorHAnsi" w:hAnsiTheme="majorHAnsi" w:cstheme="majorHAnsi"/>
          <w:spacing w:val="-3"/>
          <w:sz w:val="22"/>
          <w:szCs w:val="22"/>
          <w:highlight w:val="green"/>
          <w:lang w:val="es-EC"/>
        </w:rPr>
        <w:t>______________</w:t>
      </w:r>
      <w:r w:rsidRPr="009C2642">
        <w:rPr>
          <w:rFonts w:asciiTheme="majorHAnsi" w:hAnsiTheme="majorHAnsi" w:cstheme="majorHAnsi"/>
          <w:spacing w:val="-3"/>
          <w:sz w:val="22"/>
          <w:szCs w:val="22"/>
          <w:lang w:val="es-EC"/>
        </w:rPr>
        <w:t xml:space="preserve"> para que, sin ningún costo adicional, incluido el traslado, se atienda el requerimiento en un plazo máximo de </w:t>
      </w:r>
      <w:r>
        <w:rPr>
          <w:rFonts w:asciiTheme="majorHAnsi" w:hAnsiTheme="majorHAnsi" w:cstheme="majorHAnsi"/>
          <w:spacing w:val="-3"/>
          <w:sz w:val="22"/>
          <w:szCs w:val="22"/>
          <w:lang w:val="es-EC"/>
        </w:rPr>
        <w:t>8</w:t>
      </w:r>
      <w:r w:rsidRPr="009C2642">
        <w:rPr>
          <w:rFonts w:asciiTheme="majorHAnsi" w:hAnsiTheme="majorHAnsi" w:cstheme="majorHAnsi"/>
          <w:spacing w:val="-3"/>
          <w:sz w:val="22"/>
          <w:szCs w:val="22"/>
          <w:lang w:val="es-EC"/>
        </w:rPr>
        <w:t xml:space="preserve"> horas.</w:t>
      </w:r>
    </w:p>
    <w:p w:rsidR="00BD69C5" w:rsidRPr="009C2642"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p>
    <w:p w:rsidR="00BD69C5" w:rsidRPr="009C2642" w:rsidRDefault="00BD69C5" w:rsidP="00BD69C5">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EXCEPCIONES</w:t>
      </w:r>
    </w:p>
    <w:p w:rsidR="00BD69C5" w:rsidRPr="009C2642"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La garantía no será válida para los siguientes casos:</w:t>
      </w:r>
    </w:p>
    <w:p w:rsidR="00BD69C5" w:rsidRPr="009C2642" w:rsidRDefault="00BD69C5" w:rsidP="00BD69C5">
      <w:pPr>
        <w:numPr>
          <w:ilvl w:val="0"/>
          <w:numId w:val="2"/>
        </w:numPr>
        <w:tabs>
          <w:tab w:val="left" w:pos="-720"/>
          <w:tab w:val="left" w:pos="142"/>
          <w:tab w:val="left" w:pos="709"/>
        </w:tabs>
        <w:suppressAutoHyphens/>
        <w:ind w:left="709"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Mal uso de los bienes. - (El Contratista debe especificar, detalladamente, el concepto de mal uso de los bienes)</w:t>
      </w:r>
    </w:p>
    <w:p w:rsidR="00BD69C5" w:rsidRPr="009C2642" w:rsidRDefault="00BD69C5" w:rsidP="00BD69C5">
      <w:pPr>
        <w:numPr>
          <w:ilvl w:val="0"/>
          <w:numId w:val="2"/>
        </w:numPr>
        <w:tabs>
          <w:tab w:val="left" w:pos="-720"/>
          <w:tab w:val="left" w:pos="142"/>
          <w:tab w:val="left" w:pos="709"/>
        </w:tabs>
        <w:suppressAutoHyphens/>
        <w:ind w:left="709"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Uso indebido de químicos no permitidos para la limpieza. (El Contratista debe especificar, detalladamente, el concepto de uso indebido de químicos no permitidos)</w:t>
      </w:r>
    </w:p>
    <w:p w:rsidR="00BD69C5" w:rsidRPr="009C2642" w:rsidRDefault="00BD69C5" w:rsidP="00BD69C5">
      <w:pPr>
        <w:numPr>
          <w:ilvl w:val="0"/>
          <w:numId w:val="2"/>
        </w:numPr>
        <w:tabs>
          <w:tab w:val="left" w:pos="-720"/>
          <w:tab w:val="left" w:pos="142"/>
          <w:tab w:val="left" w:pos="709"/>
        </w:tabs>
        <w:suppressAutoHyphens/>
        <w:ind w:left="709"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Casos fortuitos (desastres naturales)</w:t>
      </w:r>
    </w:p>
    <w:p w:rsidR="00BD69C5" w:rsidRPr="009C2642"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p>
    <w:p w:rsidR="00BD69C5" w:rsidRPr="009C2642" w:rsidRDefault="00BD69C5" w:rsidP="00BD69C5">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CONDICIONES DE USO</w:t>
      </w:r>
    </w:p>
    <w:p w:rsidR="00BD69C5" w:rsidRPr="009C2642"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Para que la garantía de los bienes contratados sea válida, éstos deberán contar con las siguientes condiciones de uso:</w:t>
      </w:r>
    </w:p>
    <w:p w:rsidR="00BD69C5" w:rsidRPr="009C2642"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Temperatura. - (especificar)</w:t>
      </w:r>
    </w:p>
    <w:p w:rsidR="00BD69C5" w:rsidRPr="009C2642"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Calor. - (especificar)</w:t>
      </w:r>
    </w:p>
    <w:p w:rsidR="00BD69C5" w:rsidRPr="009C2642"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Humedad. - (especificar)</w:t>
      </w:r>
    </w:p>
    <w:p w:rsidR="00BD69C5" w:rsidRPr="009C2642"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Ventilación. - (especificar)</w:t>
      </w:r>
    </w:p>
    <w:p w:rsidR="00BD69C5" w:rsidRPr="009C2642"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Refrigeración. - (especificar)</w:t>
      </w:r>
    </w:p>
    <w:p w:rsidR="00BD69C5" w:rsidRPr="009C2642"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Corriente eléctrica. - (especificar)</w:t>
      </w:r>
    </w:p>
    <w:p w:rsidR="00BD69C5" w:rsidRPr="009C2642" w:rsidRDefault="00BD69C5" w:rsidP="00BD69C5">
      <w:pPr>
        <w:pStyle w:val="Prrafodelista"/>
        <w:numPr>
          <w:ilvl w:val="0"/>
          <w:numId w:val="3"/>
        </w:numPr>
        <w:tabs>
          <w:tab w:val="left" w:pos="-720"/>
          <w:tab w:val="left" w:pos="142"/>
          <w:tab w:val="left" w:pos="709"/>
        </w:tabs>
        <w:suppressAutoHyphens/>
        <w:spacing w:after="0" w:line="240" w:lineRule="auto"/>
        <w:ind w:left="862" w:right="-119"/>
        <w:jc w:val="both"/>
        <w:rPr>
          <w:rFonts w:asciiTheme="majorHAnsi" w:hAnsiTheme="majorHAnsi" w:cstheme="majorHAnsi"/>
          <w:spacing w:val="-3"/>
        </w:rPr>
      </w:pPr>
      <w:r w:rsidRPr="009C2642">
        <w:rPr>
          <w:rFonts w:asciiTheme="majorHAnsi" w:hAnsiTheme="majorHAnsi" w:cstheme="majorHAnsi"/>
          <w:spacing w:val="-3"/>
        </w:rPr>
        <w:t>Ubicación. - (especificar)</w:t>
      </w:r>
    </w:p>
    <w:p w:rsidR="00BD69C5" w:rsidRPr="009C2642" w:rsidRDefault="00BD69C5" w:rsidP="00BD69C5">
      <w:pPr>
        <w:tabs>
          <w:tab w:val="left" w:pos="-720"/>
          <w:tab w:val="left" w:pos="142"/>
          <w:tab w:val="left" w:pos="709"/>
          <w:tab w:val="left" w:pos="3240"/>
        </w:tabs>
        <w:ind w:left="862" w:right="-119"/>
        <w:jc w:val="both"/>
        <w:rPr>
          <w:rFonts w:asciiTheme="majorHAnsi" w:hAnsiTheme="majorHAnsi" w:cstheme="majorHAnsi"/>
          <w:spacing w:val="-3"/>
          <w:sz w:val="22"/>
          <w:szCs w:val="22"/>
          <w:lang w:val="es-EC"/>
        </w:rPr>
      </w:pPr>
    </w:p>
    <w:p w:rsidR="00BD69C5" w:rsidRPr="009C2642" w:rsidRDefault="00BD69C5" w:rsidP="00BD69C5">
      <w:pPr>
        <w:tabs>
          <w:tab w:val="left" w:pos="-720"/>
          <w:tab w:val="left" w:pos="142"/>
          <w:tab w:val="left" w:pos="709"/>
          <w:tab w:val="left" w:pos="3240"/>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(El Contratista debe especificar, de acuerdo con bibliografía apropiada que sea adjunte al presente documento, las condiciones específicas para cada parámetro enumerado y para otros en el caso que sean necesarios.)</w:t>
      </w:r>
    </w:p>
    <w:p w:rsidR="00BD69C5" w:rsidRDefault="00BD69C5" w:rsidP="00BD69C5">
      <w:pPr>
        <w:tabs>
          <w:tab w:val="left" w:pos="-720"/>
          <w:tab w:val="left" w:pos="142"/>
          <w:tab w:val="left" w:pos="709"/>
        </w:tabs>
        <w:ind w:right="-119"/>
        <w:jc w:val="both"/>
        <w:rPr>
          <w:rFonts w:asciiTheme="majorHAnsi" w:hAnsiTheme="majorHAnsi" w:cstheme="majorHAnsi"/>
          <w:b/>
          <w:spacing w:val="-3"/>
          <w:sz w:val="22"/>
          <w:szCs w:val="22"/>
          <w:lang w:val="es-EC"/>
        </w:rPr>
      </w:pPr>
    </w:p>
    <w:p w:rsidR="00BD69C5" w:rsidRPr="009C2642" w:rsidRDefault="00BD69C5" w:rsidP="00BD69C5">
      <w:pPr>
        <w:tabs>
          <w:tab w:val="left" w:pos="-720"/>
          <w:tab w:val="left" w:pos="142"/>
          <w:tab w:val="left" w:pos="709"/>
        </w:tabs>
        <w:ind w:right="-119"/>
        <w:jc w:val="both"/>
        <w:rPr>
          <w:rFonts w:asciiTheme="majorHAnsi" w:hAnsiTheme="majorHAnsi" w:cstheme="majorHAnsi"/>
          <w:b/>
          <w:spacing w:val="-3"/>
          <w:sz w:val="22"/>
          <w:szCs w:val="22"/>
          <w:lang w:val="es-EC"/>
        </w:rPr>
      </w:pPr>
      <w:r w:rsidRPr="009C2642">
        <w:rPr>
          <w:rFonts w:asciiTheme="majorHAnsi" w:hAnsiTheme="majorHAnsi" w:cstheme="majorHAnsi"/>
          <w:b/>
          <w:spacing w:val="-3"/>
          <w:sz w:val="22"/>
          <w:szCs w:val="22"/>
          <w:lang w:val="es-EC"/>
        </w:rPr>
        <w:t>SUSPENSION PLAZO DE VIGENCIA</w:t>
      </w:r>
    </w:p>
    <w:p w:rsidR="00BD69C5" w:rsidRPr="009C2642" w:rsidRDefault="00BD69C5" w:rsidP="00BD69C5">
      <w:pPr>
        <w:tabs>
          <w:tab w:val="left" w:pos="-720"/>
          <w:tab w:val="left" w:pos="142"/>
          <w:tab w:val="left" w:pos="709"/>
        </w:tabs>
        <w:ind w:right="-119"/>
        <w:jc w:val="both"/>
        <w:rPr>
          <w:rFonts w:asciiTheme="majorHAnsi" w:hAnsiTheme="majorHAnsi" w:cstheme="majorHAnsi"/>
          <w:b/>
          <w:spacing w:val="-3"/>
          <w:sz w:val="22"/>
          <w:szCs w:val="22"/>
          <w:lang w:val="es-EC"/>
        </w:rPr>
      </w:pPr>
    </w:p>
    <w:p w:rsidR="00BD69C5" w:rsidRPr="009C2642"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Se suspende el plazo de vigencia de la garantía mientras se realicen las modificaciones, arreglos o reemplazos por aplicación de la garantía.</w:t>
      </w:r>
    </w:p>
    <w:p w:rsidR="00BD69C5" w:rsidRPr="009C2642"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p>
    <w:p w:rsidR="00BD69C5" w:rsidRPr="009C2642"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El periodo de suspensión comenzará desde que la Contratante ponga los bienes a la disposición de la Contratista y concluirá con la entrega de los bienes reparados.</w:t>
      </w:r>
    </w:p>
    <w:p w:rsidR="00BD69C5" w:rsidRPr="009C2642"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p>
    <w:p w:rsidR="00BD69C5" w:rsidRPr="009C2642"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r w:rsidRPr="009C2642">
        <w:rPr>
          <w:rFonts w:asciiTheme="majorHAnsi" w:hAnsiTheme="majorHAnsi" w:cstheme="majorHAnsi"/>
          <w:spacing w:val="-3"/>
          <w:sz w:val="22"/>
          <w:szCs w:val="22"/>
          <w:lang w:val="es-EC"/>
        </w:rPr>
        <w:t>En consecuencia, la garantía se ampliará por el tiempo que haya durado dicha reparación o sustitución.</w:t>
      </w:r>
    </w:p>
    <w:p w:rsidR="00BD69C5" w:rsidRPr="009C2642" w:rsidRDefault="00BD69C5" w:rsidP="00BD69C5">
      <w:pPr>
        <w:tabs>
          <w:tab w:val="left" w:pos="-720"/>
          <w:tab w:val="left" w:pos="142"/>
          <w:tab w:val="left" w:pos="709"/>
        </w:tabs>
        <w:ind w:right="-119"/>
        <w:jc w:val="both"/>
        <w:rPr>
          <w:rFonts w:asciiTheme="majorHAnsi" w:hAnsiTheme="majorHAnsi" w:cstheme="majorHAnsi"/>
          <w:spacing w:val="-3"/>
          <w:sz w:val="22"/>
          <w:szCs w:val="22"/>
          <w:lang w:val="es-EC"/>
        </w:rPr>
      </w:pPr>
    </w:p>
    <w:p w:rsidR="00BD69C5" w:rsidRPr="009C2642" w:rsidRDefault="00BD69C5" w:rsidP="00BD69C5">
      <w:pPr>
        <w:pStyle w:val="xl25"/>
        <w:tabs>
          <w:tab w:val="left" w:pos="-720"/>
          <w:tab w:val="left" w:pos="142"/>
          <w:tab w:val="left" w:pos="709"/>
          <w:tab w:val="left" w:pos="2856"/>
          <w:tab w:val="left" w:pos="3094"/>
          <w:tab w:val="left" w:pos="3451"/>
          <w:tab w:val="left" w:pos="3689"/>
        </w:tabs>
        <w:spacing w:before="0" w:after="0"/>
        <w:ind w:right="-119"/>
        <w:jc w:val="both"/>
        <w:rPr>
          <w:rFonts w:asciiTheme="majorHAnsi" w:hAnsiTheme="majorHAnsi" w:cstheme="majorHAnsi"/>
          <w:b w:val="0"/>
          <w:bCs w:val="0"/>
          <w:spacing w:val="-3"/>
          <w:sz w:val="22"/>
          <w:szCs w:val="22"/>
          <w:lang w:val="es-EC"/>
        </w:rPr>
      </w:pPr>
      <w:r w:rsidRPr="009C2642">
        <w:rPr>
          <w:rFonts w:asciiTheme="majorHAnsi" w:hAnsiTheme="majorHAnsi" w:cstheme="majorHAnsi"/>
          <w:b w:val="0"/>
          <w:spacing w:val="-3"/>
          <w:sz w:val="22"/>
          <w:szCs w:val="22"/>
          <w:lang w:val="es-EC"/>
        </w:rPr>
        <w:t>(LUGAR Y FECHA)</w:t>
      </w:r>
    </w:p>
    <w:p w:rsidR="00BD69C5" w:rsidRPr="009C2642" w:rsidRDefault="00BD69C5" w:rsidP="00BD69C5">
      <w:pPr>
        <w:pStyle w:val="Encabezado"/>
        <w:tabs>
          <w:tab w:val="left" w:pos="-720"/>
          <w:tab w:val="left" w:pos="142"/>
          <w:tab w:val="left" w:pos="709"/>
          <w:tab w:val="left" w:pos="2380"/>
          <w:tab w:val="left" w:pos="2618"/>
        </w:tabs>
        <w:ind w:right="-119"/>
        <w:jc w:val="both"/>
        <w:rPr>
          <w:rFonts w:asciiTheme="majorHAnsi" w:hAnsiTheme="majorHAnsi" w:cstheme="majorHAnsi"/>
          <w:b/>
          <w:bCs/>
          <w:spacing w:val="-2"/>
          <w:sz w:val="22"/>
          <w:szCs w:val="22"/>
          <w:lang w:val="es-EC"/>
        </w:rPr>
      </w:pPr>
      <w:r w:rsidRPr="009C2642">
        <w:rPr>
          <w:rFonts w:asciiTheme="majorHAnsi" w:hAnsiTheme="majorHAnsi" w:cstheme="majorHAnsi"/>
          <w:b/>
          <w:bCs/>
          <w:spacing w:val="-2"/>
          <w:sz w:val="22"/>
          <w:szCs w:val="22"/>
          <w:lang w:val="es-EC"/>
        </w:rPr>
        <w:t>-------------------------------------------------------</w:t>
      </w:r>
    </w:p>
    <w:p w:rsidR="00BD69C5" w:rsidRPr="009C2642" w:rsidRDefault="00BD69C5" w:rsidP="00BD69C5">
      <w:pPr>
        <w:pStyle w:val="xl25"/>
        <w:tabs>
          <w:tab w:val="left" w:pos="-720"/>
          <w:tab w:val="left" w:pos="142"/>
          <w:tab w:val="left" w:pos="709"/>
          <w:tab w:val="left" w:pos="2856"/>
          <w:tab w:val="left" w:pos="3094"/>
          <w:tab w:val="left" w:pos="3451"/>
          <w:tab w:val="left" w:pos="3689"/>
        </w:tabs>
        <w:spacing w:before="0" w:after="0"/>
        <w:ind w:right="-119"/>
        <w:jc w:val="both"/>
        <w:rPr>
          <w:rFonts w:asciiTheme="majorHAnsi" w:hAnsiTheme="majorHAnsi" w:cstheme="majorHAnsi"/>
          <w:b w:val="0"/>
          <w:sz w:val="22"/>
          <w:szCs w:val="22"/>
          <w:lang w:val="es-EC"/>
        </w:rPr>
      </w:pPr>
      <w:r w:rsidRPr="009C2642">
        <w:rPr>
          <w:rFonts w:asciiTheme="majorHAnsi" w:hAnsiTheme="majorHAnsi" w:cstheme="majorHAnsi"/>
          <w:b w:val="0"/>
          <w:sz w:val="22"/>
          <w:szCs w:val="22"/>
          <w:lang w:val="es-EC"/>
        </w:rPr>
        <w:t>FIRMA DEL OFERENTE, SU REPRESENTANTE LEGAL O PROCURADOR COMÚN (según el caso)</w:t>
      </w:r>
    </w:p>
    <w:p w:rsidR="00BD69C5" w:rsidRPr="009C2642" w:rsidRDefault="00BD69C5" w:rsidP="00BD69C5">
      <w:pPr>
        <w:jc w:val="center"/>
        <w:rPr>
          <w:rFonts w:asciiTheme="majorHAnsi" w:eastAsia="Times New Roman" w:hAnsiTheme="majorHAnsi" w:cstheme="majorHAnsi"/>
          <w:b/>
          <w:sz w:val="22"/>
          <w:szCs w:val="22"/>
          <w:lang w:val="es-EC"/>
        </w:rPr>
      </w:pPr>
    </w:p>
    <w:p w:rsidR="00BD69C5" w:rsidRPr="009C2642" w:rsidRDefault="00BD69C5" w:rsidP="00BD69C5">
      <w:pPr>
        <w:jc w:val="center"/>
        <w:rPr>
          <w:rFonts w:asciiTheme="majorHAnsi" w:eastAsia="Times New Roman" w:hAnsiTheme="majorHAnsi" w:cstheme="majorHAnsi"/>
          <w:b/>
          <w:sz w:val="22"/>
          <w:szCs w:val="22"/>
          <w:lang w:val="es-EC"/>
        </w:rPr>
      </w:pPr>
    </w:p>
    <w:p w:rsidR="00BD69C5" w:rsidRPr="009C2642" w:rsidRDefault="00BD69C5" w:rsidP="00BD69C5">
      <w:pPr>
        <w:jc w:val="center"/>
        <w:rPr>
          <w:rFonts w:asciiTheme="majorHAnsi" w:eastAsia="Times New Roman" w:hAnsiTheme="majorHAnsi" w:cstheme="majorHAnsi"/>
          <w:b/>
          <w:sz w:val="22"/>
          <w:szCs w:val="22"/>
          <w:lang w:val="es-EC"/>
        </w:rPr>
      </w:pPr>
    </w:p>
    <w:p w:rsidR="00BD69C5" w:rsidRPr="009C2642" w:rsidRDefault="00BD69C5" w:rsidP="00BD69C5">
      <w:pPr>
        <w:jc w:val="center"/>
        <w:rPr>
          <w:rFonts w:asciiTheme="majorHAnsi" w:eastAsia="Times New Roman" w:hAnsiTheme="majorHAnsi" w:cstheme="majorHAnsi"/>
          <w:b/>
          <w:sz w:val="22"/>
          <w:szCs w:val="22"/>
          <w:lang w:val="es-EC"/>
        </w:rPr>
      </w:pPr>
    </w:p>
    <w:p w:rsidR="00BD69C5" w:rsidRPr="009C2642" w:rsidRDefault="00BD69C5" w:rsidP="00BD69C5">
      <w:pPr>
        <w:jc w:val="center"/>
        <w:rPr>
          <w:rFonts w:asciiTheme="majorHAnsi" w:eastAsia="Times New Roman" w:hAnsiTheme="majorHAnsi" w:cstheme="majorHAnsi"/>
          <w:b/>
          <w:sz w:val="22"/>
          <w:szCs w:val="22"/>
          <w:lang w:val="es-EC"/>
        </w:rPr>
      </w:pPr>
    </w:p>
    <w:p w:rsidR="004A3F63" w:rsidRDefault="004A3F63"/>
    <w:sectPr w:rsidR="004A3F63" w:rsidSect="00E225B4">
      <w:headerReference w:type="default" r:id="rId5"/>
      <w:footerReference w:type="default" r:id="rId6"/>
      <w:pgSz w:w="11900" w:h="16840"/>
      <w:pgMar w:top="1418" w:right="1127" w:bottom="993" w:left="1440" w:header="386" w:footer="2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3A7" w:rsidRPr="004C465C" w:rsidRDefault="00000000" w:rsidP="002D672A">
    <w:pPr>
      <w:pStyle w:val="Piedepgina"/>
      <w:ind w:left="-993"/>
      <w:jc w:val="right"/>
      <w:rPr>
        <w:rFonts w:ascii="Arial" w:hAnsi="Arial" w:cs="Arial"/>
        <w:sz w:val="20"/>
        <w:szCs w:val="20"/>
      </w:rPr>
    </w:pPr>
    <w:sdt>
      <w:sdtPr>
        <w:rPr>
          <w:rFonts w:ascii="Arial" w:hAnsi="Arial" w:cs="Arial"/>
          <w:sz w:val="20"/>
          <w:szCs w:val="20"/>
        </w:rPr>
        <w:id w:val="350463315"/>
        <w:docPartObj>
          <w:docPartGallery w:val="Page Numbers (Bottom of Page)"/>
          <w:docPartUnique/>
        </w:docPartObj>
      </w:sdtPr>
      <w:sdtContent>
        <w:sdt>
          <w:sdtPr>
            <w:rPr>
              <w:rFonts w:ascii="Arial" w:hAnsi="Arial" w:cs="Arial"/>
              <w:sz w:val="20"/>
              <w:szCs w:val="20"/>
            </w:rPr>
            <w:id w:val="-1311553952"/>
            <w:docPartObj>
              <w:docPartGallery w:val="Page Numbers (Top of Page)"/>
              <w:docPartUnique/>
            </w:docPartObj>
          </w:sdtPr>
          <w:sdtContent>
            <w:r w:rsidRPr="004C465C">
              <w:rPr>
                <w:rFonts w:ascii="Arial" w:hAnsi="Arial" w:cs="Arial"/>
                <w:sz w:val="20"/>
                <w:szCs w:val="20"/>
                <w:lang w:val="es-ES"/>
              </w:rPr>
              <w:t xml:space="preserve">Página </w:t>
            </w:r>
            <w:r w:rsidRPr="004C465C">
              <w:rPr>
                <w:rFonts w:ascii="Arial" w:hAnsi="Arial" w:cs="Arial"/>
                <w:b/>
                <w:bCs/>
                <w:sz w:val="20"/>
                <w:szCs w:val="20"/>
              </w:rPr>
              <w:fldChar w:fldCharType="begin"/>
            </w:r>
            <w:r w:rsidRPr="004C465C">
              <w:rPr>
                <w:rFonts w:ascii="Arial" w:hAnsi="Arial" w:cs="Arial"/>
                <w:b/>
                <w:bCs/>
                <w:sz w:val="20"/>
                <w:szCs w:val="20"/>
              </w:rPr>
              <w:instrText>PAGE</w:instrText>
            </w:r>
            <w:r w:rsidRPr="004C465C">
              <w:rPr>
                <w:rFonts w:ascii="Arial" w:hAnsi="Arial" w:cs="Arial"/>
                <w:b/>
                <w:bCs/>
                <w:sz w:val="20"/>
                <w:szCs w:val="20"/>
              </w:rPr>
              <w:fldChar w:fldCharType="separate"/>
            </w:r>
            <w:r>
              <w:rPr>
                <w:rFonts w:ascii="Arial" w:hAnsi="Arial" w:cs="Arial"/>
                <w:b/>
                <w:bCs/>
                <w:noProof/>
                <w:sz w:val="20"/>
                <w:szCs w:val="20"/>
              </w:rPr>
              <w:t>21</w:t>
            </w:r>
            <w:r w:rsidRPr="004C465C">
              <w:rPr>
                <w:rFonts w:ascii="Arial" w:hAnsi="Arial" w:cs="Arial"/>
                <w:b/>
                <w:bCs/>
                <w:sz w:val="20"/>
                <w:szCs w:val="20"/>
              </w:rPr>
              <w:fldChar w:fldCharType="end"/>
            </w:r>
            <w:r w:rsidRPr="004C465C">
              <w:rPr>
                <w:rFonts w:ascii="Arial" w:hAnsi="Arial" w:cs="Arial"/>
                <w:sz w:val="20"/>
                <w:szCs w:val="20"/>
                <w:lang w:val="es-ES"/>
              </w:rPr>
              <w:t xml:space="preserve"> de </w:t>
            </w:r>
            <w:r w:rsidRPr="004C465C">
              <w:rPr>
                <w:rFonts w:ascii="Arial" w:hAnsi="Arial" w:cs="Arial"/>
                <w:b/>
                <w:bCs/>
                <w:sz w:val="20"/>
                <w:szCs w:val="20"/>
              </w:rPr>
              <w:fldChar w:fldCharType="begin"/>
            </w:r>
            <w:r w:rsidRPr="004C465C">
              <w:rPr>
                <w:rFonts w:ascii="Arial" w:hAnsi="Arial" w:cs="Arial"/>
                <w:b/>
                <w:bCs/>
                <w:sz w:val="20"/>
                <w:szCs w:val="20"/>
              </w:rPr>
              <w:instrText>NUMPAGES</w:instrText>
            </w:r>
            <w:r w:rsidRPr="004C465C">
              <w:rPr>
                <w:rFonts w:ascii="Arial" w:hAnsi="Arial" w:cs="Arial"/>
                <w:b/>
                <w:bCs/>
                <w:sz w:val="20"/>
                <w:szCs w:val="20"/>
              </w:rPr>
              <w:fldChar w:fldCharType="separate"/>
            </w:r>
            <w:r>
              <w:rPr>
                <w:rFonts w:ascii="Arial" w:hAnsi="Arial" w:cs="Arial"/>
                <w:b/>
                <w:bCs/>
                <w:noProof/>
                <w:sz w:val="20"/>
                <w:szCs w:val="20"/>
              </w:rPr>
              <w:t>21</w:t>
            </w:r>
            <w:r w:rsidRPr="004C465C">
              <w:rPr>
                <w:rFonts w:ascii="Arial" w:hAnsi="Arial" w:cs="Arial"/>
                <w:b/>
                <w:bCs/>
                <w:sz w:val="20"/>
                <w:szCs w:val="20"/>
              </w:rPr>
              <w:fldChar w:fldCharType="end"/>
            </w:r>
          </w:sdtContent>
        </w:sdt>
      </w:sdtContent>
    </w:sdt>
  </w:p>
  <w:p w:rsidR="006D03A7" w:rsidRDefault="00000000" w:rsidP="002D672A">
    <w:pPr>
      <w:pStyle w:val="Piedepgina"/>
      <w:ind w:left="-1276"/>
    </w:pPr>
    <w:r>
      <w:rPr>
        <w:noProof/>
        <w:lang w:val="es-EC" w:eastAsia="es-EC"/>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3A7" w:rsidRDefault="00000000" w:rsidP="00A33990">
    <w:pPr>
      <w:pStyle w:val="Encabezado"/>
      <w:ind w:left="-1134"/>
    </w:pPr>
  </w:p>
  <w:p w:rsidR="006D03A7" w:rsidRPr="00E443DA" w:rsidRDefault="00000000" w:rsidP="00352D63">
    <w:pPr>
      <w:pStyle w:val="Encabezado"/>
      <w:pBdr>
        <w:bottom w:val="single" w:sz="4" w:space="1" w:color="auto"/>
      </w:pBdr>
      <w:rPr>
        <w:b/>
        <w:lang w:val="es-EC"/>
      </w:rPr>
    </w:pPr>
    <w:r>
      <w:rPr>
        <w:noProof/>
      </w:rPr>
      <w:drawing>
        <wp:anchor distT="0" distB="0" distL="114300" distR="114300" simplePos="0" relativeHeight="251659264" behindDoc="0" locked="0" layoutInCell="1" allowOverlap="1" wp14:anchorId="2A8AAF41" wp14:editId="257226DC">
          <wp:simplePos x="0" y="0"/>
          <wp:positionH relativeFrom="column">
            <wp:posOffset>5143500</wp:posOffset>
          </wp:positionH>
          <wp:positionV relativeFrom="paragraph">
            <wp:posOffset>-172085</wp:posOffset>
          </wp:positionV>
          <wp:extent cx="927735" cy="466725"/>
          <wp:effectExtent l="0" t="0" r="5715" b="9525"/>
          <wp:wrapTight wrapText="bothSides">
            <wp:wrapPolygon edited="0">
              <wp:start x="0" y="0"/>
              <wp:lineTo x="0" y="21159"/>
              <wp:lineTo x="21290" y="21159"/>
              <wp:lineTo x="2129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3DA">
      <w:rPr>
        <w:b/>
        <w:lang w:val="es-EC"/>
      </w:rPr>
      <w:t>EMPRESA PÚBLICA DE SERVICIOS ESPOL-TECH E.P.</w:t>
    </w:r>
  </w:p>
  <w:p w:rsidR="006D03A7" w:rsidRPr="006D03A7" w:rsidRDefault="00000000" w:rsidP="00A33990">
    <w:pPr>
      <w:pStyle w:val="Encabezado"/>
      <w:ind w:left="-1134"/>
      <w:rPr>
        <w:lang w:val="es-E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1B63"/>
    <w:multiLevelType w:val="hybridMultilevel"/>
    <w:tmpl w:val="B1F6A194"/>
    <w:lvl w:ilvl="0" w:tplc="04090005">
      <w:start w:val="1"/>
      <w:numFmt w:val="bullet"/>
      <w:lvlText w:val=""/>
      <w:lvlJc w:val="left"/>
      <w:pPr>
        <w:ind w:left="3621" w:hanging="360"/>
      </w:pPr>
      <w:rPr>
        <w:rFonts w:ascii="Wingdings" w:hAnsi="Wingdings" w:hint="default"/>
      </w:rPr>
    </w:lvl>
    <w:lvl w:ilvl="1" w:tplc="04090003">
      <w:start w:val="1"/>
      <w:numFmt w:val="bullet"/>
      <w:lvlText w:val="o"/>
      <w:lvlJc w:val="left"/>
      <w:pPr>
        <w:ind w:left="4341" w:hanging="360"/>
      </w:pPr>
      <w:rPr>
        <w:rFonts w:ascii="Courier New" w:hAnsi="Courier New" w:cs="Times New Roman" w:hint="default"/>
      </w:rPr>
    </w:lvl>
    <w:lvl w:ilvl="2" w:tplc="04090005">
      <w:start w:val="1"/>
      <w:numFmt w:val="bullet"/>
      <w:lvlText w:val=""/>
      <w:lvlJc w:val="left"/>
      <w:pPr>
        <w:ind w:left="5061" w:hanging="360"/>
      </w:pPr>
      <w:rPr>
        <w:rFonts w:ascii="Wingdings" w:hAnsi="Wingdings" w:hint="default"/>
      </w:rPr>
    </w:lvl>
    <w:lvl w:ilvl="3" w:tplc="04090001">
      <w:start w:val="1"/>
      <w:numFmt w:val="bullet"/>
      <w:lvlText w:val=""/>
      <w:lvlJc w:val="left"/>
      <w:pPr>
        <w:ind w:left="5781" w:hanging="360"/>
      </w:pPr>
      <w:rPr>
        <w:rFonts w:ascii="Symbol" w:hAnsi="Symbol" w:hint="default"/>
      </w:rPr>
    </w:lvl>
    <w:lvl w:ilvl="4" w:tplc="04090003">
      <w:start w:val="1"/>
      <w:numFmt w:val="bullet"/>
      <w:lvlText w:val="o"/>
      <w:lvlJc w:val="left"/>
      <w:pPr>
        <w:ind w:left="6501" w:hanging="360"/>
      </w:pPr>
      <w:rPr>
        <w:rFonts w:ascii="Courier New" w:hAnsi="Courier New" w:cs="Times New Roman" w:hint="default"/>
      </w:rPr>
    </w:lvl>
    <w:lvl w:ilvl="5" w:tplc="04090005">
      <w:start w:val="1"/>
      <w:numFmt w:val="bullet"/>
      <w:lvlText w:val=""/>
      <w:lvlJc w:val="left"/>
      <w:pPr>
        <w:ind w:left="7221" w:hanging="360"/>
      </w:pPr>
      <w:rPr>
        <w:rFonts w:ascii="Wingdings" w:hAnsi="Wingdings" w:hint="default"/>
      </w:rPr>
    </w:lvl>
    <w:lvl w:ilvl="6" w:tplc="04090001">
      <w:start w:val="1"/>
      <w:numFmt w:val="bullet"/>
      <w:lvlText w:val=""/>
      <w:lvlJc w:val="left"/>
      <w:pPr>
        <w:ind w:left="7941" w:hanging="360"/>
      </w:pPr>
      <w:rPr>
        <w:rFonts w:ascii="Symbol" w:hAnsi="Symbol" w:hint="default"/>
      </w:rPr>
    </w:lvl>
    <w:lvl w:ilvl="7" w:tplc="04090003">
      <w:start w:val="1"/>
      <w:numFmt w:val="bullet"/>
      <w:lvlText w:val="o"/>
      <w:lvlJc w:val="left"/>
      <w:pPr>
        <w:ind w:left="8661" w:hanging="360"/>
      </w:pPr>
      <w:rPr>
        <w:rFonts w:ascii="Courier New" w:hAnsi="Courier New" w:cs="Times New Roman" w:hint="default"/>
      </w:rPr>
    </w:lvl>
    <w:lvl w:ilvl="8" w:tplc="04090005">
      <w:start w:val="1"/>
      <w:numFmt w:val="bullet"/>
      <w:lvlText w:val=""/>
      <w:lvlJc w:val="left"/>
      <w:pPr>
        <w:ind w:left="9381" w:hanging="360"/>
      </w:pPr>
      <w:rPr>
        <w:rFonts w:ascii="Wingdings" w:hAnsi="Wingdings" w:hint="default"/>
      </w:rPr>
    </w:lvl>
  </w:abstractNum>
  <w:abstractNum w:abstractNumId="1" w15:restartNumberingAfterBreak="0">
    <w:nsid w:val="2DC9359E"/>
    <w:multiLevelType w:val="hybridMultilevel"/>
    <w:tmpl w:val="36B2AC7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7AE62444"/>
    <w:multiLevelType w:val="hybridMultilevel"/>
    <w:tmpl w:val="2C0079EA"/>
    <w:lvl w:ilvl="0" w:tplc="E550E6CE">
      <w:numFmt w:val="bullet"/>
      <w:lvlText w:val="-"/>
      <w:lvlJc w:val="left"/>
      <w:pPr>
        <w:ind w:left="1800" w:hanging="360"/>
      </w:pPr>
      <w:rPr>
        <w:rFonts w:ascii="Arial" w:eastAsia="Times New Roman" w:hAnsi="Arial" w:cs="Arial" w:hint="default"/>
      </w:rPr>
    </w:lvl>
    <w:lvl w:ilvl="1" w:tplc="300A0003">
      <w:start w:val="1"/>
      <w:numFmt w:val="bullet"/>
      <w:lvlText w:val="o"/>
      <w:lvlJc w:val="left"/>
      <w:pPr>
        <w:ind w:left="2520" w:hanging="360"/>
      </w:pPr>
      <w:rPr>
        <w:rFonts w:ascii="Courier New" w:hAnsi="Courier New" w:cs="Courier New" w:hint="default"/>
      </w:rPr>
    </w:lvl>
    <w:lvl w:ilvl="2" w:tplc="300A0005">
      <w:start w:val="1"/>
      <w:numFmt w:val="bullet"/>
      <w:lvlText w:val=""/>
      <w:lvlJc w:val="left"/>
      <w:pPr>
        <w:ind w:left="3240" w:hanging="360"/>
      </w:pPr>
      <w:rPr>
        <w:rFonts w:ascii="Wingdings" w:hAnsi="Wingdings" w:hint="default"/>
      </w:rPr>
    </w:lvl>
    <w:lvl w:ilvl="3" w:tplc="300A0001">
      <w:start w:val="1"/>
      <w:numFmt w:val="bullet"/>
      <w:lvlText w:val=""/>
      <w:lvlJc w:val="left"/>
      <w:pPr>
        <w:ind w:left="3960" w:hanging="360"/>
      </w:pPr>
      <w:rPr>
        <w:rFonts w:ascii="Symbol" w:hAnsi="Symbol" w:hint="default"/>
      </w:rPr>
    </w:lvl>
    <w:lvl w:ilvl="4" w:tplc="300A0003">
      <w:start w:val="1"/>
      <w:numFmt w:val="bullet"/>
      <w:lvlText w:val="o"/>
      <w:lvlJc w:val="left"/>
      <w:pPr>
        <w:ind w:left="4680" w:hanging="360"/>
      </w:pPr>
      <w:rPr>
        <w:rFonts w:ascii="Courier New" w:hAnsi="Courier New" w:cs="Courier New" w:hint="default"/>
      </w:rPr>
    </w:lvl>
    <w:lvl w:ilvl="5" w:tplc="300A0005">
      <w:start w:val="1"/>
      <w:numFmt w:val="bullet"/>
      <w:lvlText w:val=""/>
      <w:lvlJc w:val="left"/>
      <w:pPr>
        <w:ind w:left="5400" w:hanging="360"/>
      </w:pPr>
      <w:rPr>
        <w:rFonts w:ascii="Wingdings" w:hAnsi="Wingdings" w:hint="default"/>
      </w:rPr>
    </w:lvl>
    <w:lvl w:ilvl="6" w:tplc="300A0001">
      <w:start w:val="1"/>
      <w:numFmt w:val="bullet"/>
      <w:lvlText w:val=""/>
      <w:lvlJc w:val="left"/>
      <w:pPr>
        <w:ind w:left="6120" w:hanging="360"/>
      </w:pPr>
      <w:rPr>
        <w:rFonts w:ascii="Symbol" w:hAnsi="Symbol" w:hint="default"/>
      </w:rPr>
    </w:lvl>
    <w:lvl w:ilvl="7" w:tplc="300A0003">
      <w:start w:val="1"/>
      <w:numFmt w:val="bullet"/>
      <w:lvlText w:val="o"/>
      <w:lvlJc w:val="left"/>
      <w:pPr>
        <w:ind w:left="6840" w:hanging="360"/>
      </w:pPr>
      <w:rPr>
        <w:rFonts w:ascii="Courier New" w:hAnsi="Courier New" w:cs="Courier New" w:hint="default"/>
      </w:rPr>
    </w:lvl>
    <w:lvl w:ilvl="8" w:tplc="300A0005">
      <w:start w:val="1"/>
      <w:numFmt w:val="bullet"/>
      <w:lvlText w:val=""/>
      <w:lvlJc w:val="left"/>
      <w:pPr>
        <w:ind w:left="7560" w:hanging="360"/>
      </w:pPr>
      <w:rPr>
        <w:rFonts w:ascii="Wingdings" w:hAnsi="Wingdings" w:hint="default"/>
      </w:rPr>
    </w:lvl>
  </w:abstractNum>
  <w:num w:numId="1" w16cid:durableId="323822431">
    <w:abstractNumId w:val="0"/>
  </w:num>
  <w:num w:numId="2" w16cid:durableId="998777527">
    <w:abstractNumId w:val="1"/>
  </w:num>
  <w:num w:numId="3" w16cid:durableId="2098745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C5"/>
    <w:rsid w:val="001F5C21"/>
    <w:rsid w:val="004A3F63"/>
    <w:rsid w:val="00680940"/>
    <w:rsid w:val="00BD69C5"/>
    <w:rsid w:val="00F8283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649A8-F665-4093-B776-2624C188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C5"/>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encabezado Car Car Car Car Car,encabezado Car Car Car Car Car Car Car Car Car Car,encabezado Car,encabezado Car Car Car Car Car Car Car Car Car"/>
    <w:basedOn w:val="Normal"/>
    <w:link w:val="EncabezadoCar"/>
    <w:unhideWhenUsed/>
    <w:rsid w:val="00BD69C5"/>
    <w:pPr>
      <w:tabs>
        <w:tab w:val="center" w:pos="4680"/>
        <w:tab w:val="right" w:pos="9360"/>
      </w:tabs>
    </w:pPr>
  </w:style>
  <w:style w:type="character" w:customStyle="1" w:styleId="EncabezadoCar">
    <w:name w:val="Encabezado Car"/>
    <w:aliases w:val="Encabezado 2 Car,encabezado Car1,encabezado Car Car Car,encabezado Car Car Car Car Car Car,encabezado Car Car Car Car Car Car Car Car Car Car Car,encabezado Car Car1,encabezado Car Car Car Car Car Car Car Car Car Car1"/>
    <w:basedOn w:val="Fuentedeprrafopredeter"/>
    <w:link w:val="Encabezado"/>
    <w:rsid w:val="00BD69C5"/>
    <w:rPr>
      <w:sz w:val="24"/>
      <w:szCs w:val="24"/>
      <w:lang w:val="en-US"/>
    </w:rPr>
  </w:style>
  <w:style w:type="paragraph" w:styleId="Piedepgina">
    <w:name w:val="footer"/>
    <w:basedOn w:val="Normal"/>
    <w:link w:val="PiedepginaCar"/>
    <w:uiPriority w:val="99"/>
    <w:unhideWhenUsed/>
    <w:rsid w:val="00BD69C5"/>
    <w:pPr>
      <w:tabs>
        <w:tab w:val="center" w:pos="4680"/>
        <w:tab w:val="right" w:pos="9360"/>
      </w:tabs>
    </w:pPr>
  </w:style>
  <w:style w:type="character" w:customStyle="1" w:styleId="PiedepginaCar">
    <w:name w:val="Pie de página Car"/>
    <w:basedOn w:val="Fuentedeprrafopredeter"/>
    <w:link w:val="Piedepgina"/>
    <w:uiPriority w:val="99"/>
    <w:rsid w:val="00BD69C5"/>
    <w:rPr>
      <w:sz w:val="24"/>
      <w:szCs w:val="24"/>
      <w:lang w:val="en-US"/>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cuadro ghf1"/>
    <w:basedOn w:val="Normal"/>
    <w:link w:val="PrrafodelistaCar"/>
    <w:uiPriority w:val="1"/>
    <w:qFormat/>
    <w:rsid w:val="00BD69C5"/>
    <w:pPr>
      <w:spacing w:after="160" w:line="259" w:lineRule="auto"/>
      <w:ind w:left="720"/>
      <w:contextualSpacing/>
    </w:pPr>
    <w:rPr>
      <w:rFonts w:eastAsiaTheme="minorEastAsia"/>
      <w:sz w:val="22"/>
      <w:szCs w:val="22"/>
      <w:lang w:val="es-EC"/>
    </w:r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1"/>
    <w:qFormat/>
    <w:locked/>
    <w:rsid w:val="00BD69C5"/>
    <w:rPr>
      <w:rFonts w:eastAsiaTheme="minorEastAsia"/>
    </w:rPr>
  </w:style>
  <w:style w:type="paragraph" w:customStyle="1" w:styleId="xl25">
    <w:name w:val="xl25"/>
    <w:basedOn w:val="Normal"/>
    <w:rsid w:val="00BD69C5"/>
    <w:pPr>
      <w:widowControl w:val="0"/>
      <w:shd w:val="clear" w:color="auto" w:fill="FFFFFF"/>
      <w:suppressAutoHyphens/>
      <w:spacing w:before="280" w:after="280"/>
    </w:pPr>
    <w:rPr>
      <w:rFonts w:ascii="Arial" w:eastAsia="Arial Unicode MS" w:hAnsi="Arial" w:cs="Times New Roman"/>
      <w:b/>
      <w:bCs/>
      <w:kern w:val="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3886</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EMPRESA PUBLICA SERVICIOS ESPOL-TECH</dc:creator>
  <cp:keywords/>
  <dc:description/>
  <cp:lastModifiedBy>EMPRESA PUBLICA SERVICIOS ESPOL-TECH</cp:lastModifiedBy>
  <cp:revision>1</cp:revision>
  <dcterms:created xsi:type="dcterms:W3CDTF">2022-09-22T16:32:00Z</dcterms:created>
  <dcterms:modified xsi:type="dcterms:W3CDTF">2022-09-22T16:32:00Z</dcterms:modified>
</cp:coreProperties>
</file>